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E6F4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на основании _______________________________, </w:t>
      </w:r>
      <w:proofErr w:type="gramStart"/>
      <w:r>
        <w:rPr>
          <w:sz w:val="28"/>
          <w:szCs w:val="28"/>
        </w:rPr>
        <w:t>именуемый</w:t>
      </w:r>
      <w:proofErr w:type="gramEnd"/>
      <w:r>
        <w:rPr>
          <w:sz w:val="28"/>
          <w:szCs w:val="28"/>
        </w:rPr>
        <w:t xml:space="preserve">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D535A0">
        <w:rPr>
          <w:sz w:val="28"/>
          <w:szCs w:val="28"/>
        </w:rPr>
        <w:t>главного</w:t>
      </w:r>
      <w:r w:rsidR="00840176">
        <w:rPr>
          <w:sz w:val="28"/>
          <w:szCs w:val="28"/>
        </w:rPr>
        <w:t xml:space="preserve"> специалиста ________________________ ____</w:t>
      </w:r>
      <w:r w:rsidR="00D85861">
        <w:rPr>
          <w:sz w:val="28"/>
          <w:szCs w:val="28"/>
        </w:rPr>
        <w:t>______________________________________________________________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AF7CE7">
        <w:rPr>
          <w:sz w:val="28"/>
          <w:szCs w:val="28"/>
        </w:rPr>
        <w:t>6 140</w:t>
      </w:r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559F8">
        <w:rPr>
          <w:sz w:val="28"/>
          <w:szCs w:val="28"/>
          <w:lang w:eastAsia="en-US"/>
        </w:rPr>
        <w:t xml:space="preserve"> № </w:t>
      </w:r>
      <w:bookmarkStart w:id="0" w:name="_GoBack"/>
      <w:bookmarkEnd w:id="0"/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98134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98134F" w:rsidP="000556B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Шамарин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59F8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559F8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53E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Долгополова</cp:lastModifiedBy>
  <cp:revision>5</cp:revision>
  <cp:lastPrinted>2022-09-16T08:45:00Z</cp:lastPrinted>
  <dcterms:created xsi:type="dcterms:W3CDTF">2022-09-16T08:27:00Z</dcterms:created>
  <dcterms:modified xsi:type="dcterms:W3CDTF">2022-10-05T07:07:00Z</dcterms:modified>
</cp:coreProperties>
</file>